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left="-283.46456692913375" w:right="-607.79527559055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RESOLUÇÃO CME Nº 03/2025</w:t>
      </w:r>
    </w:p>
    <w:p w:rsidR="00000000" w:rsidDel="00000000" w:rsidP="00000000" w:rsidRDefault="00000000" w:rsidRPr="00000000" w14:paraId="00000002">
      <w:pPr>
        <w:spacing w:after="240" w:before="240" w:line="240" w:lineRule="auto"/>
        <w:ind w:left="4251.968503937007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 as Diretrizes Operacionais para a oferta da Educação de Jovens, Adultos e Idosos – EJA – no âmbito da rede municipal de Ensino Fundamental de Xangri-Lá e dá outras providências.</w:t>
      </w:r>
    </w:p>
    <w:p w:rsidR="00000000" w:rsidDel="00000000" w:rsidP="00000000" w:rsidRDefault="00000000" w:rsidRPr="00000000" w14:paraId="00000003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CONSELHO MUNICIPAL DE EDUCAÇÃO DE XANGRI-LÁ</w:t>
      </w:r>
      <w:r w:rsidDel="00000000" w:rsidR="00000000" w:rsidRPr="00000000">
        <w:rPr>
          <w:sz w:val="24"/>
          <w:szCs w:val="24"/>
          <w:rtl w:val="0"/>
        </w:rPr>
        <w:t xml:space="preserve">, no uso de suas atribuições legais e regimentais, com fundamento na Lei Federal nº 9.394/1996 (Lei de Diretrizes e Bases da Educação Nacional), nas</w:t>
      </w:r>
      <w:r w:rsidDel="00000000" w:rsidR="00000000" w:rsidRPr="00000000">
        <w:rPr>
          <w:sz w:val="24"/>
          <w:szCs w:val="24"/>
          <w:rtl w:val="0"/>
        </w:rPr>
        <w:t xml:space="preserve"> Resoluções CNE/CEB nº 3, de 8 de abril de 2025, e nº 6, de 17 de julho de 2025, que i</w:t>
      </w:r>
      <w:r w:rsidDel="00000000" w:rsidR="00000000" w:rsidRPr="00000000">
        <w:rPr>
          <w:sz w:val="24"/>
          <w:szCs w:val="24"/>
          <w:rtl w:val="0"/>
        </w:rPr>
        <w:t xml:space="preserve">nstituem e alteram as Diretrizes Operacionais Nacionais para a Educação de Jovens, Adultos e Idosos – EJA, e tendo em vista o dever do poder público municipal de assegurar o direito à oportunidades educacionais apropriadas a jovens, adultos e idosos que não a concluíram na idade própria. Considerando a EJA direito humano, política pública permanente e expressão da justiça social e da equidade educacional.</w:t>
      </w:r>
    </w:p>
    <w:p w:rsidR="00000000" w:rsidDel="00000000" w:rsidP="00000000" w:rsidRDefault="00000000" w:rsidRPr="00000000" w14:paraId="00000004">
      <w:pPr>
        <w:spacing w:after="240" w:before="240" w:lineRule="auto"/>
        <w:ind w:left="-283.46456692913375" w:right="-847.7952755905511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RESOLVE: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wyo4g1bd5s93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Art. 1º - Da instituição e finalidade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8x4qfob3jjy8" w:id="1"/>
      <w:bookmarkEnd w:id="1"/>
      <w:r w:rsidDel="00000000" w:rsidR="00000000" w:rsidRPr="00000000">
        <w:rPr>
          <w:color w:val="000000"/>
          <w:sz w:val="24"/>
          <w:szCs w:val="24"/>
          <w:rtl w:val="0"/>
        </w:rPr>
        <w:t xml:space="preserve">Ficam instituídas as Diretrizes Operacionais para a Educação de Jovens, Adultos e Idosos – EJA, no âmbito da rede municipal de Ensino Fundamental de Xangri-Lá, com a finalidade de assegurar o direito à escolarização e à aprendizagem ao longo da vida, garantindo percursos formativos inclusivos, flexíveis e contextualizados às realidades locais.</w:t>
      </w:r>
    </w:p>
    <w:p w:rsidR="00000000" w:rsidDel="00000000" w:rsidP="00000000" w:rsidRDefault="00000000" w:rsidRPr="00000000" w14:paraId="00000007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Parágrafo único - As disposições desta Resolução aplicam-se exclusivamente à EJA do Ensino Fundamental, compreendendo os anos iniciais e finais dessa etapa.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z7atti7r7mw9" w:id="2"/>
      <w:bookmarkEnd w:id="2"/>
      <w:r w:rsidDel="00000000" w:rsidR="00000000" w:rsidRPr="00000000">
        <w:rPr>
          <w:color w:val="000000"/>
          <w:sz w:val="24"/>
          <w:szCs w:val="24"/>
          <w:rtl w:val="0"/>
        </w:rPr>
        <w:t xml:space="preserve">Art. 2º - Dos princípios e objetivos</w:t>
      </w:r>
    </w:p>
    <w:p w:rsidR="00000000" w:rsidDel="00000000" w:rsidP="00000000" w:rsidRDefault="00000000" w:rsidRPr="00000000" w14:paraId="00000009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EJA constitui modalidade da Educação Básica destinada a:</w:t>
        <w:br w:type="textWrapping"/>
        <w:t xml:space="preserve">I – garantir o acesso, a permanência e a conclusão de estudos a pessoas com 15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quinze) anos completos ou mais, no ato da matrícula, que não iniciaram ou não concluíram o Ensino Fundamental;</w:t>
      </w:r>
    </w:p>
    <w:p w:rsidR="00000000" w:rsidDel="00000000" w:rsidP="00000000" w:rsidRDefault="00000000" w:rsidRPr="00000000" w14:paraId="0000000B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- assegurar a EJA como direito humano e política pública permanente, vinculada à promoção da dignidade, da cidadania e da justiça social;</w:t>
      </w:r>
    </w:p>
    <w:p w:rsidR="00000000" w:rsidDel="00000000" w:rsidP="00000000" w:rsidRDefault="00000000" w:rsidRPr="00000000" w14:paraId="0000000D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III – valorizar as trajetórias de vida e de trabalho dos sujeitos da EJA, reconhecendo seus saberes e experiências;</w:t>
      </w:r>
    </w:p>
    <w:p w:rsidR="00000000" w:rsidDel="00000000" w:rsidP="00000000" w:rsidRDefault="00000000" w:rsidRPr="00000000" w14:paraId="0000000E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IV</w:t>
      </w:r>
      <w:r w:rsidDel="00000000" w:rsidR="00000000" w:rsidRPr="00000000">
        <w:rPr>
          <w:sz w:val="24"/>
          <w:szCs w:val="24"/>
          <w:rtl w:val="0"/>
        </w:rPr>
        <w:t xml:space="preserve"> – promover percursos formativos significativos, respeitando as diversidades socioculturais, econômicas, geracionais, étnico-raciais, territoriais e de gênero;</w:t>
      </w:r>
    </w:p>
    <w:p w:rsidR="00000000" w:rsidDel="00000000" w:rsidP="00000000" w:rsidRDefault="00000000" w:rsidRPr="00000000" w14:paraId="0000000F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- atender os estudantes jovens, adultos e idosos com deficiência, transtornos globais do desenvolvimento, altas habilidades ou superdotação, assegurando acessibilidade, recursos de apoio e Atendimento Educacional Especializado;</w:t>
      </w:r>
    </w:p>
    <w:p w:rsidR="00000000" w:rsidDel="00000000" w:rsidP="00000000" w:rsidRDefault="00000000" w:rsidRPr="00000000" w14:paraId="00000010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– assegurar acolhimento, escuta e acompanhamento pedagógico contínuo, em consonância com as Diretrizes Operacionais Nacionais (Resolução CNE/CEB nº 3/2025, art. 2º).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dsvcm6xu16dy" w:id="3"/>
      <w:bookmarkEnd w:id="3"/>
      <w:r w:rsidDel="00000000" w:rsidR="00000000" w:rsidRPr="00000000">
        <w:rPr>
          <w:color w:val="000000"/>
          <w:sz w:val="24"/>
          <w:szCs w:val="24"/>
          <w:rtl w:val="0"/>
        </w:rPr>
        <w:t xml:space="preserve">Art. 3º - Da organização curricular</w:t>
      </w:r>
    </w:p>
    <w:p w:rsidR="00000000" w:rsidDel="00000000" w:rsidP="00000000" w:rsidRDefault="00000000" w:rsidRPr="00000000" w14:paraId="00000012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organização curricular da EJA observará as </w:t>
      </w:r>
      <w:r w:rsidDel="00000000" w:rsidR="00000000" w:rsidRPr="00000000">
        <w:rPr>
          <w:sz w:val="24"/>
          <w:szCs w:val="24"/>
          <w:rtl w:val="0"/>
        </w:rPr>
        <w:t xml:space="preserve">Diretrizes Operacionais Nacionais e a Base Nacional Comum Curricular (BNCC), promovendo a Educação Integral </w:t>
      </w:r>
      <w:r w:rsidDel="00000000" w:rsidR="00000000" w:rsidRPr="00000000">
        <w:rPr>
          <w:sz w:val="24"/>
          <w:szCs w:val="24"/>
          <w:rtl w:val="0"/>
        </w:rPr>
        <w:t xml:space="preserve">podendo adotar diferentes formas de organização tais como:</w:t>
      </w:r>
    </w:p>
    <w:p w:rsidR="00000000" w:rsidDel="00000000" w:rsidP="00000000" w:rsidRDefault="00000000" w:rsidRPr="00000000" w14:paraId="00000014">
      <w:pPr>
        <w:spacing w:after="0" w:before="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- períodos semestrais, séries anuais, ciclos, alternância regular de períodos de estudos, grupos não-seriados ou outras formas que melhor se ajustem às realidades locais e às condições dos educandos;</w:t>
      </w:r>
    </w:p>
    <w:p w:rsidR="00000000" w:rsidDel="00000000" w:rsidP="00000000" w:rsidRDefault="00000000" w:rsidRPr="00000000" w14:paraId="00000015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- unidades curriculares integradas e contextualizadas;</w:t>
      </w:r>
    </w:p>
    <w:p w:rsidR="00000000" w:rsidDel="00000000" w:rsidP="00000000" w:rsidRDefault="00000000" w:rsidRPr="00000000" w14:paraId="00000016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 - atividades presenciais e práticas pedagógicas não presenciais regulamentadas, conforme o art. 3º, inciso I, parágrafo único, da Resolução CNE/CEB nº 3/2025.</w:t>
      </w:r>
    </w:p>
    <w:p w:rsidR="00000000" w:rsidDel="00000000" w:rsidP="00000000" w:rsidRDefault="00000000" w:rsidRPr="00000000" w14:paraId="00000017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1º A proposta pedagógica das escolas deverá assegurar a interdisciplinaridade, a flexibilidade de itinerários formativos e o reconhecimento de saberes prévios.</w:t>
      </w:r>
    </w:p>
    <w:p w:rsidR="00000000" w:rsidDel="00000000" w:rsidP="00000000" w:rsidRDefault="00000000" w:rsidRPr="00000000" w14:paraId="00000018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2º O currículo deverá incluir, de modo transversal, os estudos da história e cultura afro-brasileira, africana e indígena, bem como conteúdos em direitos humanos, antirrascista, inclusiva, de gênero, ambiental, cultura digital e midiática, diversidade e cidadania.</w:t>
      </w:r>
    </w:p>
    <w:p w:rsidR="00000000" w:rsidDel="00000000" w:rsidP="00000000" w:rsidRDefault="00000000" w:rsidRPr="00000000" w14:paraId="00000019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3º A proposta pedagógica deverá contemplar dimensões cognitivas, éticas, políticas, culturais, estéticas e corporais do processo educativo, articulando educação, trabalho, cultura e ciência como eixos indissociáveis da formação humana.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7t414bq0nnxi" w:id="4"/>
      <w:bookmarkEnd w:id="4"/>
      <w:r w:rsidDel="00000000" w:rsidR="00000000" w:rsidRPr="00000000">
        <w:rPr>
          <w:color w:val="000000"/>
          <w:sz w:val="24"/>
          <w:szCs w:val="24"/>
          <w:rtl w:val="0"/>
        </w:rPr>
        <w:t xml:space="preserve">Art. 4º - Da carga horária</w:t>
      </w:r>
    </w:p>
    <w:p w:rsidR="00000000" w:rsidDel="00000000" w:rsidP="00000000" w:rsidRDefault="00000000" w:rsidRPr="00000000" w14:paraId="0000001B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carga horária mínima da EJA observará os seguintes parâmetros:</w:t>
        <w:br w:type="textWrapping"/>
        <w:t xml:space="preserve"> I – Anos iniciais do Ensino Fundamental, a carga horária mínima de 600 (seiscentas) horas anuais, voltadas à alfabetização, letramento e consolidação das aprendizagens básicas;</w:t>
      </w:r>
    </w:p>
    <w:p w:rsidR="00000000" w:rsidDel="00000000" w:rsidP="00000000" w:rsidRDefault="00000000" w:rsidRPr="00000000" w14:paraId="0000001C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 II – Anos finais do Ensino Fundamental, carga horária mínima será de 1.600 (mil e seiscentas) horas, assegurando equilíbrio entre as áreas de conhecimento.</w:t>
      </w:r>
    </w:p>
    <w:p w:rsidR="00000000" w:rsidDel="00000000" w:rsidP="00000000" w:rsidRDefault="00000000" w:rsidRPr="00000000" w14:paraId="0000001D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1º O mínimo de 240 (duzentas e quarenta) horas deverá ser destinado a cada área de conhecimento: Linguagens, Matemática, Ciências da Natureza e Ciências Humanas.</w:t>
      </w:r>
    </w:p>
    <w:p w:rsidR="00000000" w:rsidDel="00000000" w:rsidP="00000000" w:rsidRDefault="00000000" w:rsidRPr="00000000" w14:paraId="0000001E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2º Serão ofertados obrigatoriamente os componentes curriculares de Educação Física e Língua Estrangeira Moderna (Inglês ou Espanhol), sendo a prática da Educação Física facultativa nas hipóteses do art. 26, § 3º, da LDB.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a3hbxgfbhclu" w:id="5"/>
      <w:bookmarkEnd w:id="5"/>
      <w:r w:rsidDel="00000000" w:rsidR="00000000" w:rsidRPr="00000000">
        <w:rPr>
          <w:color w:val="000000"/>
          <w:sz w:val="24"/>
          <w:szCs w:val="24"/>
          <w:rtl w:val="0"/>
        </w:rPr>
        <w:t xml:space="preserve">Art. 5º - Da articulação com a Educação Profissional e Tecnológica</w:t>
      </w:r>
    </w:p>
    <w:p w:rsidR="00000000" w:rsidDel="00000000" w:rsidP="00000000" w:rsidRDefault="00000000" w:rsidRPr="00000000" w14:paraId="00000020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EJA poderá ser ofertada de forma articulada à Educação Profissional e Tecnológica, conforme as possibilidades da rede municipal e parcerias interinstitucionais, nas formas:</w:t>
      </w:r>
    </w:p>
    <w:p w:rsidR="00000000" w:rsidDel="00000000" w:rsidP="00000000" w:rsidRDefault="00000000" w:rsidRPr="00000000" w14:paraId="00000022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– Integrada: quando o currículo unifica a formação geral e a formação profissional em uma única proposta pedagógica;</w:t>
      </w:r>
    </w:p>
    <w:p w:rsidR="00000000" w:rsidDel="00000000" w:rsidP="00000000" w:rsidRDefault="00000000" w:rsidRPr="00000000" w14:paraId="00000023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– Concomitante: quando as formações ocorrem simultaneamente, podendo ser desenvolvidas em instituições distintas mediante convênios ou acordos de intercomplementaridade para a execução de Projeto Político-Pedagógico unificado.</w:t>
      </w:r>
    </w:p>
    <w:p w:rsidR="00000000" w:rsidDel="00000000" w:rsidP="00000000" w:rsidRDefault="00000000" w:rsidRPr="00000000" w14:paraId="00000025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Parágrafo único. A carga horária mínima da formação profissional deverá respeitar o disposto no art. 8º da Resolução CNE/CEB nº 3/2025, observando:</w:t>
      </w:r>
    </w:p>
    <w:p w:rsidR="00000000" w:rsidDel="00000000" w:rsidP="00000000" w:rsidRDefault="00000000" w:rsidRPr="00000000" w14:paraId="00000027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160 (cento e sessenta) horas para a EJA dos anos iniciais;</w:t>
      </w:r>
    </w:p>
    <w:p w:rsidR="00000000" w:rsidDel="00000000" w:rsidP="00000000" w:rsidRDefault="00000000" w:rsidRPr="00000000" w14:paraId="00000028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200 (duzentas) horas para a EJA dos anos finais.</w:t>
      </w:r>
    </w:p>
    <w:p w:rsidR="00000000" w:rsidDel="00000000" w:rsidP="00000000" w:rsidRDefault="00000000" w:rsidRPr="00000000" w14:paraId="00000029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Art. 6º - Da Avaliação, Classificação e Reclassificação</w:t>
      </w:r>
    </w:p>
    <w:p w:rsidR="00000000" w:rsidDel="00000000" w:rsidP="00000000" w:rsidRDefault="00000000" w:rsidRPr="00000000" w14:paraId="0000002A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avaliação na EJA será contínua, diagnóstica e formativa, voltada à progressão das aprendizagens e ao reconhecimento dos saberes adquiridos em experiências escolares, sociais e laborais.</w:t>
      </w:r>
    </w:p>
    <w:p w:rsidR="00000000" w:rsidDel="00000000" w:rsidP="00000000" w:rsidRDefault="00000000" w:rsidRPr="00000000" w14:paraId="0000002B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1º O aproveitamento de estudos e saberes prévios será realizado por avaliação diagnóstica específica, podendo resultar em classificação ou reclassificação do estudante, conforme critérios definidos pela escola.</w:t>
      </w:r>
    </w:p>
    <w:p w:rsidR="00000000" w:rsidDel="00000000" w:rsidP="00000000" w:rsidRDefault="00000000" w:rsidRPr="00000000" w14:paraId="0000002C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2º Todos os procedimentos e resultados deverão ser registrados em ata e documentos oficiais da instituição.</w:t>
      </w:r>
    </w:p>
    <w:p w:rsidR="00000000" w:rsidDel="00000000" w:rsidP="00000000" w:rsidRDefault="00000000" w:rsidRPr="00000000" w14:paraId="0000002D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3º A instituição deverá realizar autoavaliações periódicas, com vistas ao monitoramento da qualidade, equidade e efetividade da oferta da EJA.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sz w:val="24"/>
          <w:szCs w:val="24"/>
        </w:rPr>
      </w:pPr>
      <w:bookmarkStart w:colFirst="0" w:colLast="0" w:name="_kl83auu6wp85" w:id="6"/>
      <w:bookmarkEnd w:id="6"/>
      <w:r w:rsidDel="00000000" w:rsidR="00000000" w:rsidRPr="00000000">
        <w:rPr>
          <w:color w:val="000000"/>
          <w:sz w:val="24"/>
          <w:szCs w:val="24"/>
          <w:rtl w:val="0"/>
        </w:rPr>
        <w:t xml:space="preserve">Art. 7º - Da certificação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certificação será concedida ao estudante que:</w:t>
      </w:r>
    </w:p>
    <w:p w:rsidR="00000000" w:rsidDel="00000000" w:rsidP="00000000" w:rsidRDefault="00000000" w:rsidRPr="00000000" w14:paraId="00000031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– obtiver aproveitamento satisfatório nas áreas de conhecimento e cumprir no mínimo 75% da carga horária total, ou</w:t>
      </w:r>
    </w:p>
    <w:p w:rsidR="00000000" w:rsidDel="00000000" w:rsidP="00000000" w:rsidRDefault="00000000" w:rsidRPr="00000000" w14:paraId="00000032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– tiver saberes aferidos nas práticas sociais e laborais, conforme previsto nas Diretrizes Nacionais.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113cl9rzp3y7" w:id="7"/>
      <w:bookmarkEnd w:id="7"/>
      <w:r w:rsidDel="00000000" w:rsidR="00000000" w:rsidRPr="00000000">
        <w:rPr>
          <w:color w:val="000000"/>
          <w:sz w:val="24"/>
          <w:szCs w:val="24"/>
          <w:rtl w:val="0"/>
        </w:rPr>
        <w:t xml:space="preserve">Art. 8º - Da formação dos profissionais da EJA</w:t>
      </w:r>
    </w:p>
    <w:p w:rsidR="00000000" w:rsidDel="00000000" w:rsidP="00000000" w:rsidRDefault="00000000" w:rsidRPr="00000000" w14:paraId="00000035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Compete à Secretaria Municipal de Educação em articulação com as escolas, promover ações de formação continuada para os profissionais da EJA, de modo a fortalecer práticas pedagógicas emancipatórias, inclusivas e contextualizadas.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kxuelr4znv4l" w:id="8"/>
      <w:bookmarkEnd w:id="8"/>
      <w:r w:rsidDel="00000000" w:rsidR="00000000" w:rsidRPr="00000000">
        <w:rPr>
          <w:color w:val="000000"/>
          <w:sz w:val="24"/>
          <w:szCs w:val="24"/>
          <w:rtl w:val="0"/>
        </w:rPr>
        <w:t xml:space="preserve">Art. 9º - Da Pedagogia da Alternância</w:t>
      </w:r>
    </w:p>
    <w:p w:rsidR="00000000" w:rsidDel="00000000" w:rsidP="00000000" w:rsidRDefault="00000000" w:rsidRPr="00000000" w14:paraId="00000037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EJA poderá organizar segundo a Pedagogia da Alternância, com períodos alternados entre Tempo Escola e Tempo Comunidade, desde que prevista no Projeto Pedagógico e registrada no calendário letivo, conforme o art. 15 da Resolução CNE/CEB nº 3/2025, nos termos da Resolução CNE/CP nº 1, de 16 de agosto de 2023, que dispõe sobre as Diretrizes da Alternância na Educação Básica.</w:t>
      </w:r>
    </w:p>
    <w:p w:rsidR="00000000" w:rsidDel="00000000" w:rsidP="00000000" w:rsidRDefault="00000000" w:rsidRPr="00000000" w14:paraId="00000038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1º O Tempo Comunidade integrará o currículo, articulando conteúdos vivenciais, temas geradores contextualizados e conteúdos de formação geral, a serem desenvolvidos pelos estudantes por meio de atividades de pesquisa, experimentação e extensão, práticas sociais e laborais relacionados à vivência cotidiana na família, na comunidade e no trabalho. A</w:t>
      </w:r>
      <w:r w:rsidDel="00000000" w:rsidR="00000000" w:rsidRPr="00000000">
        <w:rPr>
          <w:sz w:val="24"/>
          <w:szCs w:val="24"/>
          <w:rtl w:val="0"/>
        </w:rPr>
        <w:t xml:space="preserve">s atividades deverão ser documentadas pela escola, com o arquivamento da produção dos estudantes e a correspondente avaliação pelos professores. </w:t>
      </w:r>
    </w:p>
    <w:p w:rsidR="00000000" w:rsidDel="00000000" w:rsidP="00000000" w:rsidRDefault="00000000" w:rsidRPr="00000000" w14:paraId="00000039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2º A adoção da Pedagogia da Alternância deverá considerar a realidade de vida dos educandos, respeitando condições que possam dificultar a frequência diária, como a maternidade, a jornada de trabalho durante os meses de alta temporada (trabalho sazonal), a distância da escola, as tradições, as culturas, as condições climáticas adversas e outros fatores que impactem a frequência.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ind w:left="-283.46456692913375" w:right="-847.7952755905511" w:firstLine="0"/>
        <w:jc w:val="both"/>
        <w:rPr>
          <w:color w:val="000000"/>
          <w:sz w:val="24"/>
          <w:szCs w:val="24"/>
        </w:rPr>
      </w:pPr>
      <w:bookmarkStart w:colFirst="0" w:colLast="0" w:name="_yr8so9xq2yix" w:id="9"/>
      <w:bookmarkEnd w:id="9"/>
      <w:r w:rsidDel="00000000" w:rsidR="00000000" w:rsidRPr="00000000">
        <w:rPr>
          <w:color w:val="000000"/>
          <w:sz w:val="24"/>
          <w:szCs w:val="24"/>
          <w:rtl w:val="0"/>
        </w:rPr>
        <w:t xml:space="preserve">Art. 10. Do Regime de Transição</w:t>
      </w:r>
    </w:p>
    <w:p w:rsidR="00000000" w:rsidDel="00000000" w:rsidP="00000000" w:rsidRDefault="00000000" w:rsidRPr="00000000" w14:paraId="0000003B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conformidade com o art. 18-A da Resolução CNE/CEB nº 6/2025, o período de transição entre as atuais modalidades de oferta e organização da EJA e as novas diretrizes estabelecidas nesta Resolução encerra-se em 31 de dezembro de 2025.</w:t>
      </w:r>
    </w:p>
    <w:p w:rsidR="00000000" w:rsidDel="00000000" w:rsidP="00000000" w:rsidRDefault="00000000" w:rsidRPr="00000000" w14:paraId="0000003C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1º A oferta da EJA em formato diferente daquele proposto nesta Resolução deve findar com a conclusão do segmento e não do curso, e novas matrículas, a serem disponibilizadas no período que sucede a publicação desta Resolução, devem seguir os critérios por ela estipulados.</w:t>
      </w:r>
    </w:p>
    <w:p w:rsidR="00000000" w:rsidDel="00000000" w:rsidP="00000000" w:rsidRDefault="00000000" w:rsidRPr="00000000" w14:paraId="0000003E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2º A partir do ano letivo de 2026, todas as novas turmas da EJA deverão seguir integralmente as disposições desta Resolução. </w:t>
      </w:r>
    </w:p>
    <w:p w:rsidR="00000000" w:rsidDel="00000000" w:rsidP="00000000" w:rsidRDefault="00000000" w:rsidRPr="00000000" w14:paraId="0000003F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 3º A divulgação da abertura de turmas e da chamada pública deverá ocorrer por meio de diferentes canais de comunicação, tais como redes sociais, carro de som, panfletos e banners, contando com o apoio das Secretarias Municipais de Assistência Social e de Saúde, dos Postos de Saúde, das Equipes de Saúde da Família (ESF), das associações comunitárias e de estabelecimentos comerciais. Deverão ser considerados os hábitos e a cultura de acesso à informação da comunidade, a fim de assegurar a efetividade do processo de mobilização.</w:t>
      </w:r>
    </w:p>
    <w:p w:rsidR="00000000" w:rsidDel="00000000" w:rsidP="00000000" w:rsidRDefault="00000000" w:rsidRPr="00000000" w14:paraId="00000040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Art. 11. Das Disposições Finais</w:t>
      </w:r>
    </w:p>
    <w:p w:rsidR="00000000" w:rsidDel="00000000" w:rsidP="00000000" w:rsidRDefault="00000000" w:rsidRPr="00000000" w14:paraId="00000041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- Casos omissos serão analisados pelo Conselho Municipal de Educação em conjunto com a Secretaria Municipal de Educação.</w:t>
      </w:r>
    </w:p>
    <w:p w:rsidR="00000000" w:rsidDel="00000000" w:rsidP="00000000" w:rsidRDefault="00000000" w:rsidRPr="00000000" w14:paraId="00000042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- Fica revogada a Resolução CME/Xangri-Lá nº 12, de 21 de dezembro de 2021 e demais disposições em contrário.</w:t>
      </w:r>
    </w:p>
    <w:p w:rsidR="00000000" w:rsidDel="00000000" w:rsidP="00000000" w:rsidRDefault="00000000" w:rsidRPr="00000000" w14:paraId="00000043">
      <w:pPr>
        <w:spacing w:after="240" w:befor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 - Face ao exposto esta Resolução entra em vigor a partir de 1º de janeiro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709"/>
          <w:tab w:val="left" w:leader="none" w:pos="-284"/>
          <w:tab w:val="left" w:leader="none" w:pos="9639"/>
        </w:tabs>
        <w:spacing w:line="240" w:lineRule="auto"/>
        <w:ind w:left="-283.46456692913375" w:right="-847.7952755905511" w:firstLine="0"/>
        <w:rPr>
          <w:sz w:val="24"/>
          <w:szCs w:val="24"/>
        </w:rPr>
        <w:sectPr>
          <w:headerReference r:id="rId6" w:type="default"/>
          <w:footerReference r:id="rId7" w:type="default"/>
          <w:pgSz w:h="16834" w:w="11909" w:orient="portrait"/>
          <w:pgMar w:bottom="1440" w:top="1440" w:left="1440" w:right="1682.5984251968516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709"/>
          <w:tab w:val="left" w:leader="none" w:pos="-284"/>
          <w:tab w:val="left" w:leader="none" w:pos="9639"/>
        </w:tabs>
        <w:spacing w:line="240" w:lineRule="auto"/>
        <w:ind w:left="-283.46456692913375" w:right="-847.795275590551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Andrea Simoni Rech</w:t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709"/>
          <w:tab w:val="left" w:leader="none" w:pos="-284"/>
          <w:tab w:val="left" w:leader="none" w:pos="9639"/>
        </w:tabs>
        <w:spacing w:line="240" w:lineRule="auto"/>
        <w:ind w:left="-283.46456692913375" w:right="-847.795275590551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Alessandra Corrêa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709"/>
          <w:tab w:val="left" w:leader="none" w:pos="-284"/>
          <w:tab w:val="left" w:leader="none" w:pos="9639"/>
        </w:tabs>
        <w:spacing w:line="240" w:lineRule="auto"/>
        <w:ind w:left="-283.46456692913375" w:right="-847.795275590551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Elton Barboza Goularte</w:t>
      </w:r>
    </w:p>
    <w:p w:rsidR="00000000" w:rsidDel="00000000" w:rsidP="00000000" w:rsidRDefault="00000000" w:rsidRPr="00000000" w14:paraId="00000048">
      <w:pPr>
        <w:spacing w:lin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Josiane Correa Barcella</w:t>
      </w:r>
    </w:p>
    <w:p w:rsidR="00000000" w:rsidDel="00000000" w:rsidP="00000000" w:rsidRDefault="00000000" w:rsidRPr="00000000" w14:paraId="00000049">
      <w:pPr>
        <w:spacing w:lin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Karina Macedo Jardim</w:t>
      </w:r>
    </w:p>
    <w:p w:rsidR="00000000" w:rsidDel="00000000" w:rsidP="00000000" w:rsidRDefault="00000000" w:rsidRPr="00000000" w14:paraId="0000004A">
      <w:pPr>
        <w:spacing w:lin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Leci Terezinha Piovesan</w:t>
      </w:r>
    </w:p>
    <w:p w:rsidR="00000000" w:rsidDel="00000000" w:rsidP="00000000" w:rsidRDefault="00000000" w:rsidRPr="00000000" w14:paraId="0000004B">
      <w:pPr>
        <w:spacing w:lin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Luciana Santos</w:t>
      </w:r>
    </w:p>
    <w:p w:rsidR="00000000" w:rsidDel="00000000" w:rsidP="00000000" w:rsidRDefault="00000000" w:rsidRPr="00000000" w14:paraId="0000004C">
      <w:pPr>
        <w:spacing w:line="240" w:lineRule="auto"/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Olavo Henrique Lopes Estrela</w:t>
      </w:r>
    </w:p>
    <w:p w:rsidR="00000000" w:rsidDel="00000000" w:rsidP="00000000" w:rsidRDefault="00000000" w:rsidRPr="00000000" w14:paraId="0000004D">
      <w:pPr>
        <w:ind w:left="-283.46456692913375" w:right="-847.7952755905511" w:firstLine="0"/>
        <w:rPr>
          <w:sz w:val="24"/>
          <w:szCs w:val="24"/>
        </w:rPr>
        <w:sectPr>
          <w:type w:val="continuous"/>
          <w:pgSz w:h="16834" w:w="11909" w:orient="portrait"/>
          <w:pgMar w:bottom="1440" w:top="1440" w:left="1440" w:right="1682.5984251968516" w:header="720" w:footer="720"/>
          <w:cols w:equalWidth="0" w:num="2">
            <w:col w:space="720" w:w="4031.44"/>
            <w:col w:space="0" w:w="4031.44"/>
          </w:cols>
        </w:sect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Rogério Alves 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3.46456692913375" w:right="-84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left="-283.46456692913375" w:right="-847.7952755905511" w:firstLine="0"/>
        <w:jc w:val="center"/>
        <w:rPr>
          <w:sz w:val="24"/>
          <w:szCs w:val="24"/>
        </w:rPr>
      </w:pPr>
      <w:bookmarkStart w:colFirst="0" w:colLast="0" w:name="_ypawah647vnk" w:id="10"/>
      <w:bookmarkEnd w:id="10"/>
      <w:r w:rsidDel="00000000" w:rsidR="00000000" w:rsidRPr="00000000">
        <w:rPr>
          <w:sz w:val="24"/>
          <w:szCs w:val="24"/>
          <w:rtl w:val="0"/>
        </w:rPr>
        <w:t xml:space="preserve">Aprovado, por unanimidade, em 21 de novembro de 2025.                        </w:t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709"/>
          <w:tab w:val="left" w:leader="none" w:pos="-284"/>
          <w:tab w:val="left" w:leader="none" w:pos="9639"/>
        </w:tabs>
        <w:spacing w:before="120" w:line="276" w:lineRule="auto"/>
        <w:ind w:left="-283.46456692913375" w:right="-847.795275590551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__________________________________</w:t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709"/>
          <w:tab w:val="left" w:leader="none" w:pos="-284"/>
          <w:tab w:val="left" w:leader="none" w:pos="9639"/>
        </w:tabs>
        <w:spacing w:before="120" w:line="276" w:lineRule="auto"/>
        <w:ind w:left="-283.46456692913375" w:right="-847.795275590551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Danaísis Gades Bitencourt da Silva</w:t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709"/>
        </w:tabs>
        <w:spacing w:before="28" w:line="240" w:lineRule="auto"/>
        <w:ind w:left="-283.46456692913375" w:right="-847.795275590551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Presidente CMEX</w:t>
      </w:r>
    </w:p>
    <w:p w:rsidR="00000000" w:rsidDel="00000000" w:rsidP="00000000" w:rsidRDefault="00000000" w:rsidRPr="00000000" w14:paraId="00000053">
      <w:pPr>
        <w:widowControl w:val="0"/>
        <w:tabs>
          <w:tab w:val="left" w:leader="none" w:pos="709"/>
        </w:tabs>
        <w:spacing w:before="28" w:line="240" w:lineRule="auto"/>
        <w:ind w:left="-283.46456692913375" w:right="-847.795275590551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Portaria nº 16394/2025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682.5984251968516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819"/>
        <w:tab w:val="right" w:leader="none" w:pos="9638"/>
      </w:tabs>
      <w:spacing w:line="240" w:lineRule="auto"/>
      <w:jc w:val="center"/>
      <w:rPr>
        <w:rFonts w:ascii="Liberation Serif" w:cs="Liberation Serif" w:eastAsia="Liberation Serif" w:hAnsi="Liberation Serif"/>
        <w:sz w:val="24"/>
        <w:szCs w:val="24"/>
      </w:rPr>
    </w:pPr>
    <w:r w:rsidDel="00000000" w:rsidR="00000000" w:rsidRPr="00000000">
      <w:rPr>
        <w:rFonts w:ascii="Liberation Serif" w:cs="Liberation Serif" w:eastAsia="Liberation Serif" w:hAnsi="Liberation Serif"/>
        <w:sz w:val="24"/>
        <w:szCs w:val="24"/>
        <w:rtl w:val="0"/>
      </w:rPr>
      <w:t xml:space="preserve">Rua Rio Apucaé, 1071- Xangri-Lá/RS (95.588-000)</w:t>
    </w:r>
  </w:p>
  <w:p w:rsidR="00000000" w:rsidDel="00000000" w:rsidP="00000000" w:rsidRDefault="00000000" w:rsidRPr="00000000" w14:paraId="00000058">
    <w:pPr>
      <w:shd w:fill="f8f8f8" w:val="clear"/>
      <w:spacing w:line="240" w:lineRule="auto"/>
      <w:jc w:val="center"/>
      <w:rPr>
        <w:rFonts w:ascii="Helvetica Neue" w:cs="Helvetica Neue" w:eastAsia="Helvetica Neue" w:hAnsi="Helvetica Neue"/>
        <w:sz w:val="20"/>
        <w:szCs w:val="20"/>
        <w:highlight w:val="white"/>
      </w:rPr>
    </w:pPr>
    <w:r w:rsidDel="00000000" w:rsidR="00000000" w:rsidRPr="00000000">
      <w:rPr>
        <w:rFonts w:ascii="Liberation Serif" w:cs="Liberation Serif" w:eastAsia="Liberation Serif" w:hAnsi="Liberation Serif"/>
        <w:sz w:val="24"/>
        <w:szCs w:val="24"/>
        <w:rtl w:val="0"/>
      </w:rPr>
      <w:t xml:space="preserve">Fone: (51) 3689 0675 – E-mail: </w:t>
    </w:r>
    <w:hyperlink r:id="rId1">
      <w:r w:rsidDel="00000000" w:rsidR="00000000" w:rsidRPr="00000000">
        <w:rPr>
          <w:rFonts w:ascii="Roboto" w:cs="Roboto" w:eastAsia="Roboto" w:hAnsi="Roboto"/>
          <w:color w:val="1155cc"/>
          <w:sz w:val="21"/>
          <w:szCs w:val="21"/>
          <w:u w:val="single"/>
          <w:shd w:fill="e9eef6" w:val="clear"/>
          <w:rtl w:val="0"/>
        </w:rPr>
        <w:t xml:space="preserve">cme@edu.xangrila.rs.gov.br</w:t>
      </w:r>
    </w:hyperlink>
    <w:r w:rsidDel="00000000" w:rsidR="00000000" w:rsidRPr="00000000">
      <w:rPr>
        <w:rFonts w:ascii="Liberation Serif" w:cs="Liberation Serif" w:eastAsia="Liberation Serif" w:hAnsi="Liberation Serif"/>
        <w:sz w:val="24"/>
        <w:szCs w:val="24"/>
        <w:rtl w:val="0"/>
      </w:rPr>
      <w:t xml:space="preserve"> </w:t>
    </w:r>
    <w:r w:rsidDel="00000000" w:rsidR="00000000" w:rsidRPr="00000000">
      <w:rPr>
        <w:rFonts w:ascii="Helvetica Neue" w:cs="Helvetica Neue" w:eastAsia="Helvetica Neue" w:hAnsi="Helvetica Neue"/>
        <w:sz w:val="20"/>
        <w:szCs w:val="20"/>
        <w:highlight w:val="white"/>
        <w:rtl w:val="0"/>
      </w:rPr>
      <w:t xml:space="preserve">Publicações CMEX</w:t>
    </w:r>
  </w:p>
  <w:p w:rsidR="00000000" w:rsidDel="00000000" w:rsidP="00000000" w:rsidRDefault="00000000" w:rsidRPr="00000000" w14:paraId="00000059">
    <w:pPr>
      <w:shd w:fill="f8f8f8" w:val="clear"/>
      <w:spacing w:line="240" w:lineRule="auto"/>
      <w:jc w:val="center"/>
      <w:rPr/>
    </w:pPr>
    <w:r w:rsidDel="00000000" w:rsidR="00000000" w:rsidRPr="00000000">
      <w:rPr>
        <w:rFonts w:ascii="Helvetica Neue" w:cs="Helvetica Neue" w:eastAsia="Helvetica Neue" w:hAnsi="Helvetica Neue"/>
        <w:sz w:val="20"/>
        <w:szCs w:val="20"/>
        <w:highlight w:val="white"/>
        <w:rtl w:val="0"/>
      </w:rPr>
      <w:t xml:space="preserve"> </w:t>
    </w:r>
    <w:hyperlink r:id="rId2">
      <w:r w:rsidDel="00000000" w:rsidR="00000000" w:rsidRPr="00000000">
        <w:rPr>
          <w:rFonts w:ascii="Helvetica Neue" w:cs="Helvetica Neue" w:eastAsia="Helvetica Neue" w:hAnsi="Helvetica Neue"/>
          <w:color w:val="1155cc"/>
          <w:sz w:val="20"/>
          <w:szCs w:val="20"/>
          <w:highlight w:val="white"/>
          <w:u w:val="single"/>
          <w:rtl w:val="0"/>
        </w:rPr>
        <w:t xml:space="preserve">https://xangrila.rs.gov.br/conselhos/conselho-municipal-de-educacao-cmex</w:t>
      </w:r>
    </w:hyperlink>
    <w:r w:rsidDel="00000000" w:rsidR="00000000" w:rsidRPr="00000000">
      <w:rPr>
        <w:rtl w:val="0"/>
      </w:rPr>
      <w:t xml:space="preserve">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Style w:val="Heading2"/>
      <w:keepNext w:val="0"/>
      <w:keepLines w:val="0"/>
      <w:spacing w:after="80" w:lineRule="auto"/>
      <w:jc w:val="center"/>
      <w:rPr/>
    </w:pPr>
    <w:bookmarkStart w:colFirst="0" w:colLast="0" w:name="_nelmq09tswm7" w:id="11"/>
    <w:bookmarkEnd w:id="1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4981575</wp:posOffset>
          </wp:positionH>
          <wp:positionV relativeFrom="paragraph">
            <wp:posOffset>0</wp:posOffset>
          </wp:positionV>
          <wp:extent cx="892810" cy="1078865"/>
          <wp:effectExtent b="0" l="0" r="0" t="0"/>
          <wp:wrapSquare wrapText="bothSides" distB="0" distT="0" distL="0" distR="0"/>
          <wp:docPr descr="C:\Users\smec\Pictures\xangrila.png" id="2" name="image2.png"/>
          <a:graphic>
            <a:graphicData uri="http://schemas.openxmlformats.org/drawingml/2006/picture">
              <pic:pic>
                <pic:nvPicPr>
                  <pic:cNvPr descr="C:\Users\smec\Pictures\xangrila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2810" cy="10788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-352424</wp:posOffset>
          </wp:positionH>
          <wp:positionV relativeFrom="paragraph">
            <wp:posOffset>0</wp:posOffset>
          </wp:positionV>
          <wp:extent cx="1443735" cy="717861"/>
          <wp:effectExtent b="0" l="0" r="0" t="0"/>
          <wp:wrapSquare wrapText="bothSides" distB="0" distT="0" distL="0" distR="0"/>
          <wp:docPr descr="G:\LOGO CMEX correspondencia.jpg" id="1" name="image1.jpg"/>
          <a:graphic>
            <a:graphicData uri="http://schemas.openxmlformats.org/drawingml/2006/picture">
              <pic:pic>
                <pic:nvPicPr>
                  <pic:cNvPr descr="G:\LOGO CMEX correspondencia.jp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3735" cy="71786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6">
    <w:pPr>
      <w:pStyle w:val="Heading2"/>
      <w:keepNext w:val="0"/>
      <w:keepLines w:val="0"/>
      <w:spacing w:after="80" w:lineRule="auto"/>
      <w:jc w:val="center"/>
      <w:rPr>
        <w:sz w:val="24"/>
        <w:szCs w:val="24"/>
      </w:rPr>
    </w:pPr>
    <w:bookmarkStart w:colFirst="0" w:colLast="0" w:name="_v4z630ezf32w" w:id="12"/>
    <w:bookmarkEnd w:id="12"/>
    <w:r w:rsidDel="00000000" w:rsidR="00000000" w:rsidRPr="00000000">
      <w:rPr>
        <w:b w:val="1"/>
        <w:bCs w:val="1"/>
        <w:sz w:val="26"/>
        <w:szCs w:val="26"/>
        <w:rtl w:val="0"/>
      </w:rPr>
      <w:t xml:space="preserve">CONSELHO MUNICIPAL DE EDUCAÇÃO DE XANGRI-LÁ - RS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me@edu.xangrila.rs.gov.br" TargetMode="External"/><Relationship Id="rId2" Type="http://schemas.openxmlformats.org/officeDocument/2006/relationships/hyperlink" Target="https://xangrila.rs.gov.br/conselhos/conselho-municipal-de-educacao-cmex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